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NW_33615 (Nordrhein-Westfalen) — Beiziehung von Akten</w:t>
      </w:r>
    </w:p>
    <w:p>
      <w:r>
        <w:rPr>
          <w:color w:val="555555"/>
          <w:sz w:val="18"/>
        </w:rPr>
        <w:t xml:space="preserve">Geschäftsordnung des Verfassungsgerichtshofs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Berichterstatterin oder der Berichterstatter der Beschwerdekammer kann die Akten des beanstandeten Verfahrens beiziehen, soweit nicht nach § 16a Abs. 3 VerfGHG die Akteneinsicht ausgeschlossen ist.</w:t>
      </w:r>
    </w:p>
    <w:p>
      <w:r>
        <w:t xml:space="preserve">Abschnitt 6:</w:t>
      </w:r>
    </w:p>
    <w:p>
      <w:r>
        <w:t xml:space="preserve">Schlussvorschriften</w:t>
      </w:r>
    </w:p>
    <w:p>
      <w:r>
        <w:rPr>
          <w:color w:val="555555"/>
          <w:sz w:val="17"/>
        </w:rPr>
        <w:t xml:space="preserve">Zitiervorschlag: § 22 NW_33615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https://recht.nulegal.eu/gesetze/NW_33615/22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