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NW_33615 (Nordrhein-Westfalen) — Stellungnahme</w:t>
      </w:r>
    </w:p>
    <w:p>
      <w:r>
        <w:rPr>
          <w:color w:val="555555"/>
          <w:sz w:val="18"/>
        </w:rPr>
        <w:t xml:space="preserve">Geschäftsordnung des Verfassungsgerichtshofs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Eine Stellungnahme der Berichterstatterin oder des Berichterstatters des beanstandeten Verfahrens nach § 63d Absatz 1 VerfGHG ist in der Regel erst nach Aufforderung durch die Berichterstatterin oder den Berichterstatter der Beschwerdekammer vorzulegen.</w:t>
      </w:r>
    </w:p>
    <w:p>
      <w:r>
        <w:rPr>
          <w:color w:val="555555"/>
          <w:sz w:val="17"/>
        </w:rPr>
        <w:t xml:space="preserve">Zitiervorschlag: § 21 NW_33615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https://recht.nulegal.eu/gesetze/NW_33615/21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