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NW_33615 (Nordrhein-Westfalen) — Besetzung</w:t>
      </w:r>
    </w:p>
    <w:p>
      <w:r>
        <w:rPr>
          <w:color w:val="555555"/>
          <w:sz w:val="18"/>
        </w:rPr>
        <w:t xml:space="preserve">Geschäftsordnung des Verfassungsgerichtshofs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Präsidentin, der Vizepräsident und die weiteren Kammervorsitzenden gehören der Beschwerdekammer nicht an.</w:t>
      </w:r>
    </w:p>
    <w:p>
      <w:r>
        <w:t xml:space="preserve">(2) Den Vorsitz der Beschwerdekammer führt das dienstälteste Kammermitglied.</w:t>
      </w:r>
    </w:p>
    <w:p>
      <w:r>
        <w:t xml:space="preserve">(3) Die Besetzung im Übrigen sowie die Bestimmung der Berichterstatterin oder des Berichterstatters regelt der Geschäftsverteilungsplan.</w:t>
      </w:r>
    </w:p>
    <w:p>
      <w:r>
        <w:rPr>
          <w:color w:val="555555"/>
          <w:sz w:val="17"/>
        </w:rPr>
        <w:t xml:space="preserve">Zitiervorschlag: § 20 NW_33615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https://recht.nulegal.eu/gesetze/NW_33615/20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NW_33615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