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NW_33615 (Nordrhein-Westfalen) — Belehrung über den Widerspruch</w:t>
      </w:r>
    </w:p>
    <w:p>
      <w:r>
        <w:rPr>
          <w:color w:val="555555"/>
          <w:sz w:val="18"/>
        </w:rPr>
        <w:t xml:space="preserve">Geschäftsordnung des Verfassungsgerichtshofs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Widerspruchsberechtigten sind in dem Beschluss über die einstweilige Anordnung über das Recht zum Widerspruch und die Frist zu belehren.</w:t>
      </w:r>
    </w:p>
    <w:p>
      <w:r>
        <w:t xml:space="preserve">Abschnitt 4:</w:t>
      </w:r>
    </w:p>
    <w:p>
      <w:r>
        <w:t xml:space="preserve">Verfahren bei Individualverfassungsbeschwerden</w:t>
      </w:r>
    </w:p>
    <w:p>
      <w:r>
        <w:rPr>
          <w:color w:val="555555"/>
          <w:sz w:val="17"/>
        </w:rPr>
        <w:t xml:space="preserve">Zitiervorschlag: § 18 NW_33615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https://recht.nulegal.eu/gesetze/NW_33615/18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