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NW_33615 (Nordrhein-Westfalen) — Verkündung, Unterzeichnung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Entscheidung wird grundsätzlich erst verkündet oder zugestellt, wenn sie schriftlich begründet und unterzeichnet ist.</w:t>
      </w:r>
    </w:p>
    <w:p>
      <w:r>
        <w:t xml:space="preserve">(2) Wird das Sondervotum zu einem Urteil abgegeben (§ 25 Absatz 4 Satz 1 und 3 VerfGHG), so gibt die Präsidentin dies bei der Verkündung bekannt. Das Sondervotum wird den Beteiligten und allen sonstigen Stellen in der gleichen Weise bekanntgegeben wie die Entscheidung.</w:t>
      </w:r>
    </w:p>
    <w:p>
      <w:r>
        <w:t xml:space="preserve">Abschnitt 3:</w:t>
      </w:r>
    </w:p>
    <w:p>
      <w:r>
        <w:t xml:space="preserve">Einstweilige Anordnungen</w:t>
      </w:r>
    </w:p>
    <w:p>
      <w:r>
        <w:rPr>
          <w:color w:val="555555"/>
          <w:sz w:val="17"/>
        </w:rPr>
        <w:t xml:space="preserve">Zitiervorschlag: § 16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