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NW_33615 (Nordrhein-Westfalen) — Schriftliches Verfahren im Umlauf</w:t>
      </w:r>
    </w:p>
    <w:p>
      <w:r>
        <w:rPr>
          <w:color w:val="555555"/>
          <w:sz w:val="18"/>
        </w:rPr>
        <w:t xml:space="preserve">Geschäftsordnung des Verfassungsgerichtshofs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Hält die Präsidentin in Fällen, die keine mündliche Verhandlung erfordern, eine Entscheidung im Wege des Umlaufs für angezeigt, so kann sie jedem mitwirkenden Mitglied einen von ihr unterzeichneten Entscheidungsentwurf übersenden. Die jeweils Mitwirkenden senden den ihnen übersandten Entwurf mit ihrer Unterschrift versehen zurück, wenn nicht eine Beratung verlangt wird. Der Beschluss kommt mit Eingang des letzten unterzeichneten Entwurfs zustande.</w:t>
      </w:r>
    </w:p>
    <w:p>
      <w:r>
        <w:rPr>
          <w:color w:val="555555"/>
          <w:sz w:val="17"/>
        </w:rPr>
        <w:t xml:space="preserve">Zitiervorschlag: § 12 NW_33615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https://recht.nulegal.eu/gesetze/NW_33615/12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NW_33615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