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NW_33615 (Nordrhein-Westfalen) — Berichterstattung</w:t>
      </w:r>
    </w:p>
    <w:p>
      <w:r>
        <w:rPr>
          <w:color w:val="555555"/>
          <w:sz w:val="18"/>
        </w:rPr>
        <w:t xml:space="preserve">Geschäftsordnung des Verfassungsgerichtshofs für das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Nach Eingang jeder neuen Sache wird grundsätzlich die Berichterstattung geregelt. § 59 Abs. 1 Satz 2 VerfGHG und § 20 Abs. 3 dieser Geschäftsordnung bleiben davon unberührt.</w:t>
      </w:r>
    </w:p>
    <w:p>
      <w:r>
        <w:rPr>
          <w:color w:val="555555"/>
          <w:sz w:val="17"/>
        </w:rPr>
        <w:t xml:space="preserve">Zitiervorschlag: § 11 NW_33615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https://recht.nulegal.eu/gesetze/NW_33615/11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NW_33615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