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NW_33567 (Nordrhein-Westfalen) — Inkrafttreten, Außerkrafttreten</w:t>
      </w:r>
    </w:p>
    <w:p>
      <w:r>
        <w:rPr>
          <w:color w:val="555555"/>
          <w:sz w:val="18"/>
        </w:rPr>
        <w:t xml:space="preserve">ERVVO RHSt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Verordnung über die elektronische Kommunikation und Aktenführung in Angelegenheiten der strafrechtlichen Zusammenarbeit mit dem Ausland im Lande Nordrhein-Westfalen vom 24. März 2015 (GV. NRW. S. 324) außer Kraft.</w:t>
      </w:r>
    </w:p>
    <w:p>
      <w:r>
        <w:t xml:space="preserve">Der Minister der Justiz</w:t>
      </w:r>
    </w:p>
    <w:p>
      <w:r>
        <w:t xml:space="preserve">des Landes Nordrhein-Westfalen</w:t>
      </w:r>
    </w:p>
    <w:p>
      <w:r>
        <w:rPr>
          <w:color w:val="555555"/>
          <w:sz w:val="17"/>
        </w:rPr>
        <w:t xml:space="preserve">Zitiervorschlag: § 7 NW_33567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https://recht.nulegal.eu/gesetze/NW_33567/7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