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NW_33501 (Nordrhein-Westfalen) — Durchführung des Clearingverfahrens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Clearingstelle Mittelstand hat Anspruch auf Beratung durch das für Wirtschaft zuständige Ministerium hinsichtlich der Verfahrensabläufe.</w:t>
      </w:r>
    </w:p>
    <w:p>
      <w:r>
        <w:t xml:space="preserve">(2) Im Rahmen des Verfahrens holt die Clearingstelle Mittelstand Stellungnahmen bei den Beteiligten ein, wertet sie aus und bündelt sie.</w:t>
      </w:r>
    </w:p>
    <w:p>
      <w:r>
        <w:t xml:space="preserve">(3) Die Clearingstelle Mittelstand kann im Laufe des Verfahrens jederzeit das jeweils zuständige Ministerium um ergänzende Erläuterungen bitten.</w:t>
      </w:r>
    </w:p>
    <w:p>
      <w:r>
        <w:t xml:space="preserve">(4) Das Clearingverfahren endet mit Abgabe der Stellungnahme der Clearingstelle Mittelstand. Sollte sich im weiteren Normsetzungsverfahren der Landesregierung eine wesentlich mittelstandsrelevante Änderung ergeben, ist erneut ein Clearingverfahren durchzuführen.</w:t>
      </w:r>
    </w:p>
    <w:p>
      <w:r>
        <w:rPr>
          <w:color w:val="555555"/>
          <w:sz w:val="17"/>
        </w:rPr>
        <w:t xml:space="preserve">Zitiervorschlag: § 4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