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NW_33501 (Nordrhein-Westfalen) — Clearingstelle Mittelstand, Träger und Beteiligte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sozialpolitischen Verbände, die Dachorganisationen der Kammern, die Organisationen der gewerblichen Wirtschaft sowie der Freien Berufe und die kommunalen Spitzenverbände nach § 6 Absatz 3 des Mittelstandsförderungsgesetzes beteiligen sich an den Clearingverfahren und unterstützen die Clearingstelle Mittelstand. Einzelheiten der Zusammenarbeit werden durch eine Vereinbarung mit dem für Wirtschaft zuständigen Ministerium geregelt.</w:t>
      </w:r>
    </w:p>
    <w:p>
      <w:r>
        <w:t xml:space="preserve">(2) Die Clearingstelle Mittelstand wird durch Vertrag des für Wirtschaft zuständigen Ministeriums mit einem der in § 6 Absatz 4 des Mittelstandsförderungsgesetzes genannten Träger eingerichtet.</w:t>
      </w:r>
    </w:p>
    <w:p>
      <w:r>
        <w:t xml:space="preserve">(3) Die Clearingstelle arbeitet unabhängig von dem Träger. Sie erfüllt ihre Aufgaben unabhängig von der eigenen Interessenvertretung des Trägers und nimmt die Interessen aller Beteiligten neutral wahr.</w:t>
      </w:r>
    </w:p>
    <w:p>
      <w:r>
        <w:t xml:space="preserve">(4) Die Unterzeichnung der Vereinbarung nach Absatz 1 Satz 2 verpflichtet zu einer ziel- und ergebnisorientierten Unterstützung der Arbeit der Clearingstelle.</w:t>
      </w:r>
    </w:p>
    <w:p>
      <w:r>
        <w:t xml:space="preserve">(5) Für die Arbeit der Beteiligten des Clearingverfahrens gilt der Grundsatz der Vertraulichkeit.</w:t>
      </w:r>
    </w:p>
    <w:p>
      <w:r>
        <w:rPr>
          <w:color w:val="555555"/>
          <w:sz w:val="17"/>
        </w:rPr>
        <w:t xml:space="preserve">Zitiervorschlag: § 2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