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NW_33501 (Nordrhein-Westfalen) — Inkrafttreten</w:t>
      </w:r>
    </w:p>
    <w:p>
      <w:r>
        <w:rPr>
          <w:color w:val="555555"/>
          <w:sz w:val="18"/>
        </w:rPr>
        <w:t xml:space="preserve">MFGVO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 Verordnung tritt am Tag nach der Verkündung in Kraft.</w:t>
      </w:r>
    </w:p>
    <w:p>
      <w:r>
        <w:t xml:space="preserve">Die Landesregierung Nordrhein-Westfalen</w:t>
      </w:r>
    </w:p>
    <w:p>
      <w:r>
        <w:t xml:space="preserve">Der Ministerpräsident</w:t>
      </w:r>
    </w:p>
    <w:p>
      <w:r>
        <w:t xml:space="preserve">Der Minister für Kinder, Familie, Flüchtlinge und Integration</w:t>
      </w:r>
    </w:p>
    <w:p>
      <w:r>
        <w:t xml:space="preserve">Der Minister der Finanzen</w:t>
      </w:r>
    </w:p>
    <w:p>
      <w:r>
        <w:t xml:space="preserve">Zugleich für das Ministerium für Umwelt, Landwirtschaft, Natur- und Verbraucherschutz</w:t>
      </w:r>
    </w:p>
    <w:p>
      <w:r>
        <w:t xml:space="preserve">insofern mit der Wahrung der Geschäfte beauftragt</w:t>
      </w:r>
    </w:p>
    <w:p>
      <w:r>
        <w:t xml:space="preserve">Der Minister des Innern</w:t>
      </w:r>
    </w:p>
    <w:p>
      <w:r>
        <w:t xml:space="preserve">Zugleich für den Minister der Justiz</w:t>
      </w:r>
    </w:p>
    <w:p>
      <w:r>
        <w:t xml:space="preserve">Der Minister für Wirtschaft, Innovation, Digitalisierung und Energie</w:t>
      </w:r>
    </w:p>
    <w:p>
      <w:r>
        <w:t xml:space="preserve">Der Minister für Arbeit, Gesundheit und Soziales</w:t>
      </w:r>
    </w:p>
    <w:p>
      <w:r>
        <w:t xml:space="preserve">Die Ministerin für Schule und Bildung</w:t>
      </w:r>
    </w:p>
    <w:p>
      <w:r>
        <w:rPr>
          <w:color w:val="555555"/>
          <w:sz w:val="17"/>
        </w:rPr>
        <w:t xml:space="preserve">Zitiervorschlag: § 10 NW_33501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https://recht.nulegal.eu/gesetze/NW_33501/10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