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NW_33500 (Nordrhein-Westfalen) — Inkrafttreten</w:t>
      </w:r>
    </w:p>
    <w:p>
      <w:r>
        <w:rPr>
          <w:color w:val="555555"/>
          <w:sz w:val="18"/>
        </w:rPr>
        <w:t xml:space="preserve">Gesetz zur Bestätigung der Vereinbarung mit dem Erzbistum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den Minister für Kinder, Familie, Flüchtlinge und Integration</w:t>
      </w:r>
    </w:p>
    <w:p>
      <w:r>
        <w:t xml:space="preserve">Der Minister für Wirtschaft, Innovation, Digitalisierung und Energie</w:t>
      </w:r>
    </w:p>
    <w:p>
      <w:r>
        <w:t xml:space="preserve">Für den Minister der Finanzen</w:t>
      </w:r>
    </w:p>
    <w:p>
      <w:r>
        <w:t xml:space="preserve">Der Minister des Innern</w:t>
      </w:r>
    </w:p>
    <w:p>
      <w:r>
        <w:rPr>
          <w:color w:val="555555"/>
          <w:sz w:val="17"/>
        </w:rPr>
        <w:t xml:space="preserve">Zitiervorschlag: § 2 NW_33500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