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NW_33493 (Nordrhein-Westfalen) — Prüfung</w:t>
      </w:r>
    </w:p>
    <w:p>
      <w:r>
        <w:rPr>
          <w:color w:val="555555"/>
          <w:sz w:val="18"/>
        </w:rPr>
        <w:t xml:space="preserve">RettAPrVO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 zur Rettungssanitäterin beziehungsweise zum Rettungssanitäter besteht aus einem schriftlichen und einem fachpraktischen Teil. Sie soll nach dem Abschlusslehrgang gemäß § 2 Absatz 1 Nummer 4 an derselben Ausbildungsstätte durchgeführt werden.</w:t>
      </w:r>
    </w:p>
    <w:p>
      <w:r>
        <w:t xml:space="preserve">(2) Die Prüfung zur Rettungshelferin beziehungsweise zum Rettungshelfer wird nach Abschluss der theoretisch-praktischen Ausbildung durchgeführt und besteht aus einem schriftlichen und einem fachpraktischen Teil.</w:t>
      </w:r>
    </w:p>
    <w:p>
      <w:r>
        <w:t xml:space="preserve">(3) Die Prüfung findet grundsätzlich nicht öffentlich statt.</w:t>
      </w:r>
    </w:p>
    <w:p>
      <w:r>
        <w:rPr>
          <w:color w:val="555555"/>
          <w:sz w:val="17"/>
        </w:rPr>
        <w:t xml:space="preserve">Zitiervorschlag: § 6 NW_33493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https://recht.nulegal.eu/gesetze/NW_33493/6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