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NW_33493 (Nordrhein-Westfalen) — Zuständige Behörde</w:t>
      </w:r>
    </w:p>
    <w:p>
      <w:r>
        <w:rPr>
          <w:color w:val="555555"/>
          <w:sz w:val="18"/>
        </w:rPr>
        <w:t xml:space="preserve">RettAPrVO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Kreise und kreisfreien Städte sind die zuständigen Behörden für die Durchführung dieser Verordnung, soweit sich aus Absatz 2 nichts anderes ergibt.</w:t>
      </w:r>
    </w:p>
    <w:p>
      <w:r>
        <w:t xml:space="preserve">(2) Die Bezirksregierung ist zuständige Behörde für die Entscheidung über die Anerkennung und die Überwachung von Ausbildungsstätten gemäß Anlage 17.</w:t>
      </w:r>
    </w:p>
    <w:p>
      <w:r>
        <w:t xml:space="preserve">Abschnitt 5</w:t>
      </w:r>
    </w:p>
    <w:p>
      <w:r>
        <w:t xml:space="preserve">Übergangs- und Schlussvorschriften</w:t>
      </w:r>
    </w:p>
    <w:p>
      <w:r>
        <w:rPr>
          <w:color w:val="555555"/>
          <w:sz w:val="17"/>
        </w:rPr>
        <w:t xml:space="preserve">Zitiervorschlag: § 21 NW_33493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https://recht.nulegal.eu/gesetze/NW_33493/21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