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NW_33493 (Nordrhein-Westfalen) — Schriftlicher Teil der Prüfung</w:t>
      </w:r>
    </w:p>
    <w:p>
      <w:r>
        <w:rPr>
          <w:color w:val="555555"/>
          <w:sz w:val="18"/>
        </w:rPr>
        <w:t xml:space="preserve">RettAPrVO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schriftliche Teil der Prüfung ist unter Aufsicht und innerhalb von maximal 60 Minuten zu fertigen. Die Prüfung erfolgt in Präsenzform an der Ausbildungsstätte. Der Einsatz elektronischer Medien ist zulässig.</w:t>
      </w:r>
    </w:p>
    <w:p>
      <w:r>
        <w:t xml:space="preserve">(2) Die Fragen des schriftlichen Teils der Prüfung werden durch den Vorsitz des Prüfungsausschusses auf Vorschlag der Ausbildungsstätte bestimmt. Das Prüfungsformat Antwort-Auswahlverfahren ist zulässig. In diesem Fall darf von den vorgegebenen Antwortmöglichkeiten nur eine richtig sein.</w:t>
      </w:r>
    </w:p>
    <w:p>
      <w:r>
        <w:rPr>
          <w:color w:val="555555"/>
          <w:sz w:val="17"/>
        </w:rPr>
        <w:t xml:space="preserve">Zitiervorschlag: § 17 NW_33493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https://recht.nulegal.eu/gesetze/NW_33493/17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