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NW_33493 (Nordrhein-Westfalen) — Versäumnisfolgen</w:t>
      </w:r>
    </w:p>
    <w:p>
      <w:r>
        <w:rPr>
          <w:color w:val="555555"/>
          <w:sz w:val="18"/>
        </w:rPr>
        <w:t xml:space="preserve">RettAPrVO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oder der betreffende Teil der Prüfung gilt als nicht bestanden, wenn</w:t>
      </w:r>
    </w:p>
    <w:p>
      <w:r>
        <w:t xml:space="preserve">1. eine Prüfungsteilnehmerin oder ein Prüfungsteilnehmer</w:t>
      </w:r>
    </w:p>
    <w:p>
      <w:r>
        <w:t xml:space="preserve">a) einen Prüfungstermin versäumt,</w:t>
      </w:r>
    </w:p>
    <w:p>
      <w:r>
        <w:t xml:space="preserve">b) den schriftlichen Teil der Prüfung nicht oder nicht rechtzeitig abgibt oder</w:t>
      </w:r>
    </w:p>
    <w:p>
      <w:r>
        <w:t xml:space="preserve">c) die Prüfung oder einen Teil der Prüfung unterbricht und</w:t>
      </w:r>
    </w:p>
    <w:p>
      <w:r>
        <w:t xml:space="preserve">2. kein wichtiger Grund vorliegt.</w:t>
      </w:r>
    </w:p>
    <w:p>
      <w:r>
        <w:t xml:space="preserve">§ 11 Absatz 2 bis 4 gilt entsprechend. Liegt ein wichtiger Grund vor, gilt die Prüfung oder der betreffende Teil der Prüfung als nicht begonnen.</w:t>
      </w:r>
    </w:p>
    <w:p>
      <w:r>
        <w:t xml:space="preserve">(2) Die Entscheidung darüber, ob ein wichtiger Grund vorliegt, trifft der Vorsitz des Prüfungsausschusses. § 12 gilt entsprechend.</w:t>
      </w:r>
    </w:p>
    <w:p>
      <w:r>
        <w:rPr>
          <w:color w:val="555555"/>
          <w:sz w:val="17"/>
        </w:rPr>
        <w:t xml:space="preserve">Zitiervorschlag: § 13 NW_33493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https://recht.nulegal.eu/gesetze/NW_33493/13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