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NW_33490 (Nordrhein-Westfalen)</w:t>
      </w:r>
    </w:p>
    <w:p>
      <w:r>
        <w:rPr>
          <w:color w:val="555555"/>
          <w:sz w:val="18"/>
        </w:rPr>
        <w:t xml:space="preserve">Landeskinderschutzgesetz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April 2022</w:t>
      </w:r>
    </w:p>
    <w:p>
      <w:r>
        <w:t xml:space="preserve">(Artikel 1 des Gesetzes vom 13. April 2022 (GV. NRW. S. 509))</w:t>
      </w:r>
    </w:p>
    <w:p>
      <w:r>
        <w:t xml:space="preserve">Teil 1</w:t>
      </w:r>
    </w:p>
    <w:p>
      <w:r>
        <w:t xml:space="preserve">Grundsätze und Ziele</w:t>
      </w:r>
    </w:p>
    <w:p>
      <w:r>
        <w:rPr>
          <w:color w:val="555555"/>
          <w:sz w:val="17"/>
        </w:rPr>
        <w:t xml:space="preserve">Zitiervorschlag: Volltext NW_33490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