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NW_33490 (Nordrhein-Westfalen) — Inkrafttreten</w:t>
      </w:r>
    </w:p>
    <w:p>
      <w:r>
        <w:rPr>
          <w:color w:val="555555"/>
          <w:sz w:val="18"/>
        </w:rPr>
        <w:t xml:space="preserve">Landeskinderschutzgesetz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vorbehaltlich des Satzes 2 am 1. Mai 2022 in Kraft. Die §§ 6 bis 8 treten am 1. Juli 2023 in Kraft.</w:t>
      </w:r>
    </w:p>
    <w:p>
      <w:r>
        <w:t xml:space="preserve">Die Landesregierung Nordrhein-Westfalen</w:t>
      </w:r>
    </w:p>
    <w:p>
      <w:r>
        <w:t xml:space="preserve">Der Ministerpräsident</w:t>
      </w:r>
    </w:p>
    <w:p>
      <w:r>
        <w:t xml:space="preserve">Für den Minister für Kinder, Familie, Flüchtlinge und Integration sowie</w:t>
      </w:r>
    </w:p>
    <w:p>
      <w:r>
        <w:t xml:space="preserve">Für die Ministerin für Schule und Bildung</w:t>
      </w:r>
    </w:p>
    <w:p>
      <w:r>
        <w:t xml:space="preserve">Der Minister für Wirtschaft, Innovation, Digitalisierung und Energie</w:t>
      </w:r>
    </w:p>
    <w:p>
      <w:r>
        <w:t xml:space="preserve">Der Minister des Innern</w:t>
      </w:r>
    </w:p>
    <w:p>
      <w:r>
        <w:t xml:space="preserve">Zugleich für den Minister der Finanzen sowie</w:t>
      </w:r>
    </w:p>
    <w:p>
      <w:r>
        <w:t xml:space="preserve">Für den Minister für Arbeit, Gesundheit und Soziales sowie</w:t>
      </w:r>
    </w:p>
    <w:p>
      <w:r>
        <w:t xml:space="preserve">Für die Ministerin für Heimat, Kommunales, Bau und Gleichstellung</w:t>
      </w:r>
    </w:p>
    <w:p>
      <w:r>
        <w:t xml:space="preserve">Der Minister der Justiz</w:t>
      </w:r>
    </w:p>
    <w:p>
      <w:r>
        <w:rPr>
          <w:color w:val="555555"/>
          <w:sz w:val="17"/>
        </w:rPr>
        <w:t xml:space="preserve">Zitiervorschlag: § 24 NW_33490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https://recht.nulegal.eu/gesetze/NW_33490/24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