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NW_33490 (Nordrhein-Westfalen) — Berichtspflicht</w:t>
      </w:r>
    </w:p>
    <w:p>
      <w:r>
        <w:rPr>
          <w:color w:val="555555"/>
          <w:sz w:val="18"/>
        </w:rPr>
        <w:t xml:space="preserve">Landeskinderschutzgesetz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berichtet dem Landtag spätestens zum 31. Dezember 2026 über die Erfahrungen bei der Anwendung der Teile 1 bis 7 dieses Gesetzes.</w:t>
      </w:r>
    </w:p>
    <w:p>
      <w:r>
        <w:rPr>
          <w:color w:val="555555"/>
          <w:sz w:val="17"/>
        </w:rPr>
        <w:t xml:space="preserve">Zitiervorschlag: § 23 NW_33490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