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NW_33488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Antiochenisch-Orthodoxe Metropolie von Deutschland und Mitteleuropa mit Sitz in Köln sowie an die Maktab Tarighat Oveyssi Shahmaghsoudi („School of Islamic Sufism“) mit Sitz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April 2022</w:t>
      </w:r>
    </w:p>
    <w:p>
      <w:r>
        <w:t xml:space="preserve">Auf Grund des § 2 Absatz 1 Satz 1 des Körperschaftsstatusgesetzes vom 16. September 2014 (GV. NRW. S. 604) verordnet die Landesregierung nach Anhörung des zuständigen Ausschusses des Landtags:</w:t>
      </w:r>
    </w:p>
    <w:p>
      <w:r>
        <w:rPr>
          <w:color w:val="555555"/>
          <w:sz w:val="17"/>
        </w:rPr>
        <w:t xml:space="preserve">Zitiervorschlag: Volltext NW_33488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https://recht.nulegal.eu/gesetze/NW_33488/volltext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