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NW_33449 (Nordrhein-Westfalen) — Zahlungsmodalitäten</w:t>
      </w:r>
    </w:p>
    <w:p>
      <w:r>
        <w:rPr>
          <w:color w:val="555555"/>
          <w:sz w:val="18"/>
        </w:rPr>
        <w:t xml:space="preserve">PauschKHFVO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Baupauschale gemäß § 18 Absatz 1 Nummer 1 des Krankenhausgestaltungsgesetzes des Landes Nordrhein-Westfalen wird jährlich zum 1. Juli des Förderjahres ausgezahlt.</w:t>
      </w:r>
    </w:p>
    <w:p>
      <w:r>
        <w:t xml:space="preserve">(2) Die Pauschale für die Wiederbeschaffung kurzfristiger Anlagegüter nach § 18 Absatz 1 Nummer 2 des Krankenhausgestaltungsgesetzes des Landes Nordrhein-Westfalen wird in vier Raten jeweils zur Mitte eines Quartals des Förderjahres ausgezahlt.</w:t>
      </w:r>
    </w:p>
    <w:p>
      <w:r>
        <w:t xml:space="preserve">(3) Die Nachverteilung von Mitteln gemäß § 1 Absatz 3 erfolgt jeweils im letzten Quartal eines Förderjahres.</w:t>
      </w:r>
    </w:p>
    <w:p>
      <w:r>
        <w:t xml:space="preserve">(4) Beträge unter 100 Euro je Krankenhaus werden nicht ausgezahlt.</w:t>
      </w:r>
    </w:p>
    <w:p>
      <w:r>
        <w:rPr>
          <w:color w:val="555555"/>
          <w:sz w:val="17"/>
        </w:rPr>
        <w:t xml:space="preserve">Zitiervorschlag: § 3 NW_33449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https://recht.nulegal.eu/gesetze/NW_33449/3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