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NW_33449 (Nordrhein-Westfalen) — Bemessungsgrundlage und Höhe der Pauschalförderbeträge inFällen der Zusammenlegung und des Trägerwechsels</w:t>
      </w:r>
    </w:p>
    <w:p>
      <w:r>
        <w:rPr>
          <w:color w:val="555555"/>
          <w:sz w:val="18"/>
        </w:rPr>
        <w:t xml:space="preserve">PauschKHFVO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Bemessungsgrundlage für ein förderfähiges Krankenhaus, das durch die Zusammenlegung zweier oder mehrerer Krankenhäuser entstanden ist, sind die bestandskräftigen Bescheide gemäß § 1 Absatz 1, die gegenüber allen an der Zusammenlegung beteiligten Krankenhäusern ergangen sind. Die Höhe der jährlichen Pauschalbeträge bestimmt sich durch die Summe der nach § 1 Absatz 2 ermittelten Beträge aller an der Zusammenlegung beteiligten Krankenhäuser.</w:t>
      </w:r>
    </w:p>
    <w:p>
      <w:r>
        <w:t xml:space="preserve">(2) Im Falle eines Trägerwechsels eines förderfähigen Krankenhauses ist die Bemessungsgrundlage für die jährliche Pauschalförderung der Bescheid nach § 1 Absatz 1, der gegenüber dem bisherigen Träger ergangen ist.</w:t>
      </w:r>
    </w:p>
    <w:p>
      <w:r>
        <w:rPr>
          <w:color w:val="555555"/>
          <w:sz w:val="17"/>
        </w:rPr>
        <w:t xml:space="preserve">Zitiervorschlag: § 2 NW_33449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https://recht.nulegal.eu/gesetze/NW_33449/2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