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NW_33443 (Nordrhein-Westfalen) — Beendigung der Stiftung, Heimfall</w:t>
      </w:r>
    </w:p>
    <w:p>
      <w:r>
        <w:rPr>
          <w:color w:val="555555"/>
          <w:sz w:val="18"/>
        </w:rPr>
        <w:t xml:space="preserve">Gesetz über die Errichtung der „Stiftung Opferschutz Nordrhein-Westfalen“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Stiftung kann nur durch Gesetz aufgehoben werden.</w:t>
      </w:r>
    </w:p>
    <w:p>
      <w:r>
        <w:t xml:space="preserve">(2) Im Fall der Aufhebung der Stiftung fällt ihr Vermögen an das Land Nordrhein-Westfalen.</w:t>
      </w:r>
    </w:p>
    <w:p>
      <w:r>
        <w:rPr>
          <w:color w:val="555555"/>
          <w:sz w:val="17"/>
        </w:rPr>
        <w:t xml:space="preserve">Zitiervorschlag: § 9 NW_33443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https://recht.nulegal.eu/gesetze/NW_33443/9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