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NW_33422 (Nordrhein-Westfalen) — Ordnungswidrigkeiten</w:t>
      </w:r>
    </w:p>
    <w:p>
      <w:r>
        <w:rPr>
          <w:color w:val="555555"/>
          <w:sz w:val="18"/>
        </w:rPr>
        <w:t xml:space="preserve">Verordnung über die Zuständigkeiten im Humanarzneimittel-, Medizinprodukte- und Apothekenwesen sowie auf dem Gebiet des Schutzes vor nichtionisierender Strahlung bei der Anwendung am Menschen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Rahmen der Zuständigkeit nach § 1 Absatz 1 und 4 wird den Bezirksregierungen die Zuständigkeit für die Verfolgung und Ahndung von Ordnungswidrigkeiten nach</w:t>
      </w:r>
    </w:p>
    <w:p>
      <w:r>
        <w:t xml:space="preserve">1. § 97 des Arzneimittelgesetzes,</w:t>
      </w:r>
    </w:p>
    <w:p>
      <w:r>
        <w:t xml:space="preserve">2. § 15 des Heilmittelwerbegesetzes,</w:t>
      </w:r>
    </w:p>
    <w:p>
      <w:r>
        <w:t xml:space="preserve">3. § 32 des Betäubungsmittelgesetzes,</w:t>
      </w:r>
    </w:p>
    <w:p>
      <w:r>
        <w:t xml:space="preserve">4. § 32 des Transfusionsgesetzes,</w:t>
      </w:r>
    </w:p>
    <w:p>
      <w:r>
        <w:t xml:space="preserve">5. § 42 des Medizinproduktegesetzes,</w:t>
      </w:r>
    </w:p>
    <w:p>
      <w:r>
        <w:t xml:space="preserve">6. § 94 des Medizinprodukterecht-Durchführungsgesetzes,</w:t>
      </w:r>
    </w:p>
    <w:p>
      <w:r>
        <w:t xml:space="preserve">7. § 3 des Gesetzes über die Rechtsstellung vorgeprüfter Apothekeranwärter und</w:t>
      </w:r>
    </w:p>
    <w:p>
      <w:r>
        <w:t xml:space="preserve">8. § 27 des Medizinal-Cannabisgesetzes</w:t>
      </w:r>
    </w:p>
    <w:p>
      <w:r>
        <w:t xml:space="preserve">und den aufgrund dieser Gesetze erlassenen Verordnungen in der jeweils geltenden Fassung übertragen.</w:t>
      </w:r>
    </w:p>
    <w:p>
      <w:r>
        <w:t xml:space="preserve">(2) Im Rahmen der Zuständigkeit nach § 1 Absatz 2 wird den Kreisordnungsbehörden die Zuständigkeit für die Verfolgung und Ahndung von Ordnungswidrigkeiten nach</w:t>
      </w:r>
    </w:p>
    <w:p>
      <w:r>
        <w:t xml:space="preserve">1. § 25 des Apothekengesetzes,</w:t>
      </w:r>
    </w:p>
    <w:p>
      <w:r>
        <w:t xml:space="preserve">2. § 97 des Arzneimittelgesetzes,</w:t>
      </w:r>
    </w:p>
    <w:p>
      <w:r>
        <w:t xml:space="preserve">3. § 32 des Betäubungsmittelgesetzes,</w:t>
      </w:r>
    </w:p>
    <w:p>
      <w:r>
        <w:t xml:space="preserve">4. § 15 des Heilmittelwerbegesetzes und</w:t>
      </w:r>
    </w:p>
    <w:p>
      <w:r>
        <w:t xml:space="preserve">5. § 27 des Medizinal-Cannabisgesetzes</w:t>
      </w:r>
    </w:p>
    <w:p>
      <w:r>
        <w:t xml:space="preserve">und den aufgrund dieser Gesetze erlassenen Verordnungen jeweils in der jeweils geltenden Fassung übertragen.</w:t>
      </w:r>
    </w:p>
    <w:p>
      <w:r>
        <w:t xml:space="preserve">(3) Im Rahmen der Zuständigkeit nach § 1 Absatz 5 wird dem Landesamt für Gesundheit und Arbeitsschutz Nordrhein-Westfalen die Zuständigkeit für die Verfolgung und Ahndung von Ordnungswidrigkeiten nach § 8 des Gesetzes zum Schutz vor nichtionisierender Strahlung bei der Anwendung am Menschen und den aufgrund dieses Gesetzes erlassenen Verordnungen jeweils in der jeweils geltenden Fassung übertragen.</w:t>
      </w:r>
    </w:p>
    <w:p>
      <w:r>
        <w:rPr>
          <w:color w:val="555555"/>
          <w:sz w:val="17"/>
        </w:rPr>
        <w:t xml:space="preserve">Zitiervorschlag: § 2 NW_33422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https://recht.nulegal.eu/gesetze/NW_33422/2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