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 NW_33422 (Nordrhein-Westfalen) — Vollzug</w:t>
      </w:r>
    </w:p>
    <w:p>
      <w:r>
        <w:rPr>
          <w:color w:val="555555"/>
          <w:sz w:val="18"/>
        </w:rPr>
        <w:t xml:space="preserve">Verordnung über die Zuständigkeiten im Humanarzneimittel-, Medizinprodukte- und Apothekenwesen sowie auf dem Gebiet des Schutzes vor nichtionisierender Strahlung bei der Anwendung am Menschen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(1) Die Bezirksregierungen sind zuständige Behörden im Sinne der folgenden Gesetze und Verordnungen jeweils in der jeweils geltenden Fassung:</w:t>
      </w:r>
    </w:p>
    <w:p>
      <w:r>
        <w:t xml:space="preserve">1. des Arzneimittelgesetzes in der Fassung der Bekanntmachung vom 12. Dezember 2005 (BGBl. I S. 3394) und der aufgrund dieses Gesetzes erlassenen Verordnungen,</w:t>
      </w:r>
    </w:p>
    <w:p>
      <w:r>
        <w:t xml:space="preserve">2. der delegierten Verordnung (EU) 2016/161 der Kommission vom 2. Oktober 2015 zur Ergänzung der Richtlinie 2001/83/EG des Europäischen Parlaments und des Rates durch die Festlegung genauer Bestimmungen über die Sicherheitsmerkmale auf der Verpackung von Humanarzneimitteln (ABl. L 32 vom 9.2.2016, S. 1) für die Überwachung des Datenspeicher- und -abrufsystems,</w:t>
      </w:r>
    </w:p>
    <w:p>
      <w:r>
        <w:t xml:space="preserve">3. des Heilmittelwerbegesetzes in der Fassung der Bekanntmachung vom 19. Oktober 1994 (BGBl. I S. 3068),</w:t>
      </w:r>
    </w:p>
    <w:p>
      <w:r>
        <w:t xml:space="preserve">4. des Betäubungsmittelgesetzes in der Fassung der Bekanntmachung vom 1. März 1994 (BGBl. I S. 358) und der aufgrund dieses Gesetzes erlassenen Verordnungen,</w:t>
      </w:r>
    </w:p>
    <w:p>
      <w:r>
        <w:t xml:space="preserve">5. des Transfusionsgesetzes in der Fassung der Bekanntmachung vom 28. August 2007 (BGBl. I S. 2169) und der aufgrund dieses Gesetzes erlassenen Verordnungen,</w:t>
      </w:r>
    </w:p>
    <w:p>
      <w:r>
        <w:t xml:space="preserve">6. der Abschnitte 2 bis 3a des Transplantationsgesetzes in der Fassung der Bekanntmachung vom 4. September 2007 (BGBl. I S. 2206),</w:t>
      </w:r>
    </w:p>
    <w:p>
      <w:r>
        <w:t xml:space="preserve">7. der Verordnung (EU) 2017/745 des Europäischen Parlaments und des Rates vom 5. April 2017 über Medizinprodukte, zur Änderung der Richtlinie 2001/83/EG, der Verordnung (EG) Nr. 178/2002 und der Verordnung (EG) Nr. 1223/2009 und zur Aufhebung der Richtlinien 90/385/EWG und 93/42/EWG des Rates (ABl. L 117 vom 5.5.2017, S. 1; L 117 vom 3.5.2019, S. 9; L 334 vom 27.12.2019, S. 165; L 241 vom 8.7.2021, S. 7) und der aufgrund dieser Verordnung erlassenen Rechtsakte,</w:t>
      </w:r>
    </w:p>
    <w:p>
      <w:r>
        <w:t xml:space="preserve">8. der Verordnung (EU) 2017/746 des Europäischen Parlaments und des Rates vom 5. April 2017 über In-vitro-Diagnostika und zur Aufhebung der Richtlinie 98/79/EG und des Beschlusses 2010/227/EU der Kommission (ABl. L 117 vom 5.5.2017, S. 176; L 117 vom 3.5.2019, S. 11; L 334 vom 27.12.2019, S. 167; L 233 vom 1.7.2021, S. 9) und der aufgrund dieser Verordnung erlassenen Rechtsakte,</w:t>
      </w:r>
    </w:p>
    <w:p>
      <w:r>
        <w:t xml:space="preserve">9. des Medizinproduktegesetzes in der Fassung der Bekanntmachung vom 7. August 2002 (BGBl. I S. 3146) und der aufgrund dieses Gesetzes erlassenen Verordnungen,</w:t>
      </w:r>
    </w:p>
    <w:p>
      <w:r>
        <w:t xml:space="preserve">10. des Medizinprodukterecht-Durchführungsgesetzes vom 28. April 2020 (BGBl. I S. 960) und der aufgrund dieses Gesetzes erlassenen Verordnungen,</w:t>
      </w:r>
    </w:p>
    <w:p>
      <w:r>
        <w:t xml:space="preserve">11. des Gesetzes über die Rechtsstellung vorgeprüfter Apothekeranwärter vom 4. Dezember 1973 (BGBl. I S. 1813),</w:t>
      </w:r>
    </w:p>
    <w:p>
      <w:r>
        <w:t xml:space="preserve">12. der Verordnung (EU) Nr. 536/2014 des Europäischen Parlaments und des Rates vom 16. April 2014 über klinische Prüfungen mit Humanarzneimitteln und zur Aufhebung der Richtlinie 2001/20/EG (ABl. L 158 vom 27.5.2014, S. 1; L 311 vom 17.11.2016, S. 25) und der aufgrund dieser Verordnung erlassenen Rechtsakte und</w:t>
      </w:r>
    </w:p>
    <w:p>
      <w:r>
        <w:t xml:space="preserve">13. des Medizinal-Cannabisgesetzes vom 27. März 2024 (BGBl. 2024 I Nr. 109, S. 27) und der aufgrund dieses Gesetzes erlassenen Verordnungen,</w:t>
      </w:r>
    </w:p>
    <w:p>
      <w:r>
        <w:t xml:space="preserve">soweit in den Absätzen 2 bis 5 keine andere Zuständigkeitsregelung getroffen ist.</w:t>
      </w:r>
    </w:p>
    <w:p>
      <w:r>
        <w:t xml:space="preserve">(2) Die Kreise und kreisfreien Städte sind zuständige Behörden im Sinne der folgenden Gesetze, Verordnungen und Übereinkommen jeweils in der jeweils geltenden Fassung:</w:t>
      </w:r>
    </w:p>
    <w:p>
      <w:r>
        <w:t xml:space="preserve">1. des Apothekengesetzes in der Fassung der Bekanntmachung vom 15. Oktober 1980 (BGBl. I S. 1993),</w:t>
      </w:r>
    </w:p>
    <w:p>
      <w:r>
        <w:t xml:space="preserve">2. der Apothekenbetriebsordnung in der Fassung der Bekanntmachung vom 26. September 1995 (BGBl. I S. 1195), mit Ausnahme der §§ 23 und 24, für die gemäß § 9 Absatz 1 Nummer 5 des Heilberufsgesetzes vom 9. Mai 2000 (GV. NRW. S. 403) die Apothekenkammern zuständig sind,</w:t>
      </w:r>
    </w:p>
    <w:p>
      <w:r>
        <w:t xml:space="preserve">3. des Arzneimittelgesetzes und der aufgrund dieses Gesetzes erlassenen Verordnungen für die Überwachung nach §§ 64 bis 69 des Arzneimittelgesetzes soweit sie</w:t>
      </w:r>
    </w:p>
    <w:p>
      <w:r>
        <w:t xml:space="preserve">a) Apotheken im Sinne des Apothekengesetzes,</w:t>
      </w:r>
    </w:p>
    <w:p>
      <w:r>
        <w:t xml:space="preserve">b) den Einzelhandel mit Arzneimitteln außerhalb von Apotheken im Rahmen des § 13 Absatz 2 Nummer 5 und des § 50 Absatz 1 des Arzneimittelgesetzes und das Reisegewerbe im Rahmen des § 51 Absatz 1 Halbsatz 2 und Absatz 2 des Arzneimittelgesetzes sowie das nicht gewerbs- oder berufsmäßige Handeltreiben mit apothekenpflichtigen Arzneimitteln im Rahmen des § 43 Absatz 1 Satz 2 des Arzneimittelgesetzes,</w:t>
      </w:r>
    </w:p>
    <w:p>
      <w:r>
        <w:t xml:space="preserve">c) das gewerbs- oder berufsmäßige Verbringen oder Einführen von Arzneimitteln im Rahmen des § 73 Absatz 1 Nummer 1 und Absatz 3 des Arzneimittelgesetzes, bei dem der Empfänger eine Apotheke ist, oder</w:t>
      </w:r>
    </w:p>
    <w:p>
      <w:r>
        <w:t xml:space="preserve">d) das nicht gewerbs- oder berufsmäßige Verbringen oder Einführen von Arzneimitteln im Rahmen des § 73 Absatz 1 und des § 73 Absatz 2 Nummer 6 bis 8 des Arzneimittelgesetzes</w:t>
      </w:r>
    </w:p>
    <w:p>
      <w:r>
        <w:t xml:space="preserve">betrifft,</w:t>
      </w:r>
    </w:p>
    <w:p>
      <w:r>
        <w:t xml:space="preserve">4. des Betäubungsmittelgesetzes und der aufgrund dieses Gesetzes erlassenen Verordnungen für die Überwachung nach § 19 Absatz 1 Satz 3 des Betäubungsmittelgesetzes mit Ausnahme der Überwachung von pharmazeutischen Unternehmern im Falle der Abgabe von Diamorphin,</w:t>
      </w:r>
    </w:p>
    <w:p>
      <w:r>
        <w:t xml:space="preserve">5. des Artikels 75 des Schengen-Besitzstand-Übereinkommens zur Durchführung des Übereinkommens von Schengen vom 14. Juni 1985 zwischen den Regierungen der Staaten der Benelux-Wirtschaftsunion, der Bundesrepublik Deutschland und der Französischen Republik betreffend den schrittweisen Abbau der Kontrollen an den gemeinsamen Grenzen (ABl. L 239 vom 22.9.2000, S. 19),</w:t>
      </w:r>
    </w:p>
    <w:p>
      <w:r>
        <w:t xml:space="preserve">6. der delegierten Verordnung (EU) Nr. 2016/161 und der aufgrund dieser Verordnung erlassenen Rechtsakte, soweit sie Apotheken betreffen,</w:t>
      </w:r>
    </w:p>
    <w:p>
      <w:r>
        <w:t xml:space="preserve">7. des Heilmittelwerbegesetzes für den Geltungsbereich des § 1 Absatz 1 Nummer 1 des Heilmittelwerbegesetzes im Rahmen ihrer Zuständigkeit nach den Nummern 1 bis 3 dieses Absatzes sowie für den Geltungsbereich des § 1 Absatz 1 Nummer 2 des Heilmittelwerbegesetzes und</w:t>
      </w:r>
    </w:p>
    <w:p>
      <w:r>
        <w:t xml:space="preserve">8. des Medizinal-Cannabisgesetzes und der aufgrund dieses Gesetzes erlassenen Verordnungen für die Überwachung nach § 17 Absatz 1 Satz 2 des Medizinal-Cannabisgesetzes.</w:t>
      </w:r>
    </w:p>
    <w:p>
      <w:r>
        <w:t xml:space="preserve">(3) Die Industrie- und Handelskammer ist zuständige Behörde im Sinne der Verordnung über den Nachweis der Sachkenntnis im Einzelhandel mit freiverkäuflichen Arzneimitteln vom 20. Juni 1978 (BGBl. I S. 753) in der jeweils geltenden Fassung.</w:t>
      </w:r>
    </w:p>
    <w:p>
      <w:r>
        <w:t xml:space="preserve">(4) Die Bezirksregierung Düsseldorf ist zuständige Behörde im Sinne der folgenden Gesetze und Verordnungen jeweils in der jeweils geltenden Fassung, soweit sie die klinische Prüfung in einer Prüfstelle betreffen:</w:t>
      </w:r>
    </w:p>
    <w:p>
      <w:r>
        <w:t xml:space="preserve">1. der Verordnung (EU) Nr. 536/2014 und der aufgrund dieser Verordnung erlassenen Rechtsakte und</w:t>
      </w:r>
    </w:p>
    <w:p>
      <w:r>
        <w:t xml:space="preserve">2. des Arzneimittelgesetzes und der aufgrund dieses Gesetzes erlassenen Verordnungen für die Überwachung nach §§ 64 bis 69 des Arzneimittelgesetzes.</w:t>
      </w:r>
    </w:p>
    <w:p>
      <w:r>
        <w:t xml:space="preserve">(5) Das Landesamt für Gesundheit und Arbeitsschutz Nordrhein-Westfalen ist zuständige Behörde im Sinne der folgenden Gesetze und Verordnungen jeweils in der jeweils geltenden Fassung:</w:t>
      </w:r>
    </w:p>
    <w:p>
      <w:r>
        <w:t xml:space="preserve">1. des Betäubungsmittelgesetzes für die Entgegennahme und Prüfung von Anträgen zum Betrieb eines Drogenkonsumraums und Überwachung von Drogenkonsumräumen nach § 10a des Betäubungsmittelgesetzes sowie für die Erteilung der Erlaubnis und Überwachung nach § 10b des Betäubungsmittelgesetzes,</w:t>
      </w:r>
    </w:p>
    <w:p>
      <w:r>
        <w:t xml:space="preserve">2. der Betäubungsmittel-Verschreibungsverordnung vom 20. Januar 1998 (BGBl. I S. 74, 80) für die Erteilung der Erlaubnis und Überwachung nach § 5a Absatz 2 der Betäubungsmittel-Verschreibungsverordnung,</w:t>
      </w:r>
    </w:p>
    <w:p>
      <w:r>
        <w:t xml:space="preserve">3. für die staatliche Anerkennung von Einrichtungen im Sinne von § 35 Absatz 1 Satz 2 und § 36 Absatz 1 des Betäubungsmittelgesetzes und</w:t>
      </w:r>
    </w:p>
    <w:p>
      <w:r>
        <w:t xml:space="preserve">4. des Gesetzes zum Schutz vor nichtionisierender Strahlung bei der Anwendung am Menschen vom 29. Juli 2009 (BGBl. I S. 2433) und der auf Grund dieses Gesetzes erlassenen Verordnungen.</w:t>
      </w:r>
    </w:p>
    <w:p>
      <w:r>
        <w:rPr>
          <w:color w:val="555555"/>
          <w:sz w:val="17"/>
        </w:rPr>
        <w:t xml:space="preserve">Zitiervorschlag: § 1 NW_33422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https://recht.nulegal.eu/gesetze/NW_33422/1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