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NW_33389 (Nordrhein-Westfalen) — Inkrafttreten und Außerkrafttreten</w:t>
      </w:r>
    </w:p>
    <w:p>
      <w:r>
        <w:rPr>
          <w:color w:val="555555"/>
          <w:sz w:val="18"/>
        </w:rPr>
        <w:t xml:space="preserve">Integrationspauschalen-Verordnung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mit dem Inkrafttreten dieser Verordnung tritt die Integrationspauschalen-Verordnung vom 29. März 2012 (GV. NRW. S. 158), die zuletzt durch Verordnung vom 22. April 2020 (GV. NRW. S. 345) geändert worden ist, außer Kraft.</w:t>
      </w:r>
    </w:p>
    <w:p>
      <w:r>
        <w:t xml:space="preserve">Der Minister für Kinder, Familie,</w:t>
      </w:r>
    </w:p>
    <w:p>
      <w:r>
        <w:t xml:space="preserve">Flüchtlinge und Integration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NW_33389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https://recht.nulegal.eu/gesetze/NW_33389/3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