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NW_33389 (Nordrhein-Westfalen) — Übergangsregelung für das erste Quartal 2022</w:t>
      </w:r>
    </w:p>
    <w:p>
      <w:r>
        <w:rPr>
          <w:color w:val="555555"/>
          <w:sz w:val="18"/>
        </w:rPr>
        <w:t xml:space="preserve">Integrationspauschalen-Verordnung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Berechnung der Integrationspauschalen für das erste Quartal 2022 sind auch die Personen nach § 14 des Teilhabe- und Integrationsgesetzes zu berücksichtigen, die im Zeitraum vom 1. Januar 2020 bis zum 15. Januar 2020 neu eingereist oder in diesem Zeitraum in Deutschland geboren sind.</w:t>
      </w:r>
    </w:p>
    <w:p>
      <w:r>
        <w:rPr>
          <w:color w:val="555555"/>
          <w:sz w:val="17"/>
        </w:rPr>
        <w:t xml:space="preserve">Zitiervorschlag: § 2 NW_33389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https://recht.nulegal.eu/gesetze/NW_33389/2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