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NW_33361 (Nordrhein-Westfalen)</w:t>
      </w:r>
    </w:p>
    <w:p>
      <w:r>
        <w:rPr>
          <w:color w:val="555555"/>
          <w:sz w:val="18"/>
        </w:rPr>
        <w:t xml:space="preserve">Zweite Verordnung über besondere haushaltsrechtliche Verfahrensweisen im Zuge des Wiederaufbaus nach der Starkregen- und Hochwasserkatastrophe im Juli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2021</w:t>
      </w:r>
    </w:p>
    <w:p>
      <w:r>
        <w:t xml:space="preserve">Auf Grund des § 96a der Gemeindeordnung für das Land Nordrhein-Westfalen in der Fassung der Bekanntmachung vom 14. Juli 1994 (GV. NRW. S. 666), der durch Artikel 3 Nummer 5 des Gesetzes vom 29. September 2020 (GV. NRW. S. 916) eingefügt worden ist, verordnet das Ministerium für Heimat, Kommunales, Bau und Gleichstellung mit Zustimmung des Landtages:</w:t>
      </w:r>
    </w:p>
    <w:p>
      <w:r>
        <w:rPr>
          <w:color w:val="555555"/>
          <w:sz w:val="17"/>
        </w:rPr>
        <w:t xml:space="preserve">Zitiervorschlag: Volltext NW_33361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https://recht.nulegal.eu/gesetze/NW_33361/volltext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