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NW_33361 (Nordrhein-Westfalen) — Nachtragssatzung zur Haushaltssatzung 2022 und 2023 sowieüber- oder außerplanmäßige Aufwendungen und Auszahlungen</w:t>
      </w:r>
    </w:p>
    <w:p>
      <w:r>
        <w:rPr>
          <w:color w:val="555555"/>
          <w:sz w:val="18"/>
        </w:rPr>
        <w:t xml:space="preserve">Zweite Verordnung über besondere haushaltsrechtliche Verfahrensweisen im Zuge des Wiederaufbaus nach der Starkregen- und Hochwasserkatastrophe im Juli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Haushaltsjahren 2022 und 2023 findet § 81 Absatz 2 der Gemeindeordnung für das Land Nordrhein-Westfalen auf Haushalte von besonders von dem Schadensereignis betroffenen Kommunen nach § 2 Absatz 2 keine Anwendung, soweit die Ursache für die Belastung des Jahresergebnisses beziehungsweise die erfolgenden Investitionen in der Bewältigung des Schadensereignisses liegt.</w:t>
      </w:r>
    </w:p>
    <w:p>
      <w:r>
        <w:t xml:space="preserve">(2) Für in den Haushaltsjahren 2022 und 2023 zur Bewältigung des Schadensereignisses erfolgende überplanmäßige und außerplanmäßige Aufwendungen und Auszahlungen findet § 83 der Gemeindeordnung für das Land Nordrhein-Westfalen mit Ausnahme von Absatz 1 Satz 2 und Absatz 2 Satz 2 auf Haushalte besonders betroffener Kommunen nach § 2 Absatz 2 Anwendung.</w:t>
      </w:r>
    </w:p>
    <w:p>
      <w:r>
        <w:rPr>
          <w:color w:val="555555"/>
          <w:sz w:val="17"/>
        </w:rPr>
        <w:t xml:space="preserve">Zitiervorschlag: § 4 NW_33361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https://recht.nulegal.eu/gesetze/NW_33361/4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