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NW_33353 (Nordrhein-Westfalen) — Inkrafttreten</w:t>
      </w:r>
    </w:p>
    <w:p>
      <w:r>
        <w:rPr>
          <w:color w:val="555555"/>
          <w:sz w:val="18"/>
        </w:rPr>
        <w:t xml:space="preserve">WohnStVO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Heimat, Kommunales, Bau und Gleichstellung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NW_33353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https://recht.nulegal.eu/gesetze/NW_33353/7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