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NW_33353 (Nordrhein-Westfalen) — Gebührentarif und Billigkeitsregelung</w:t>
      </w:r>
    </w:p>
    <w:p>
      <w:r>
        <w:rPr>
          <w:color w:val="555555"/>
          <w:sz w:val="18"/>
        </w:rPr>
        <w:t xml:space="preserve">WohnStVO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können für Amtshandlungen nach dem Wohnraumstärkungsgesetz die im Gebührentarif (Anlage) genannten Verwaltungsgebühren erheben. Der Gebührentarif ist Bestandteil dieser Verordnung. Die nicht in dem Gebührentarif genannten Amtshandlungen sind gebührenfrei.</w:t>
      </w:r>
    </w:p>
    <w:p>
      <w:r>
        <w:t xml:space="preserve">(2) Die Höchstbeträge der in den Tarifstellen 1 und 2 genannten Amtshandlungen beschränken sich auf die Fälle, in denen sich die Wohnungen unter derselben Anschrift befinden. Satz 1 gilt auch, wenn sich die Wohnungen nicht unter derselben Anschrift befinden, aber im räumlichen Zusammenhang stehen und sachlich als eine Angelegenheit bearbeitet werden.</w:t>
      </w:r>
    </w:p>
    <w:p>
      <w:r>
        <w:rPr>
          <w:color w:val="555555"/>
          <w:sz w:val="17"/>
        </w:rPr>
        <w:t xml:space="preserve">Zitiervorschlag: § 5 NW_33353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https://recht.nulegal.eu/gesetze/NW_33353/5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