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NW_33353 (Nordrhein-Westfalen) — Informations- und Dokumentationspflichten</w:t>
      </w:r>
    </w:p>
    <w:p>
      <w:r>
        <w:rPr>
          <w:color w:val="555555"/>
          <w:sz w:val="18"/>
        </w:rPr>
        <w:t xml:space="preserve">WohnStVO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Verfügungsberechtigte hat dafür zu sorgen, dass die Bewohnerin oder der Bewohner die Bestimmungen und Informationen nach § 3 verstehen kann und bei Bezug eine Unterweisung vorgenommen wird.</w:t>
      </w:r>
    </w:p>
    <w:p>
      <w:r>
        <w:t xml:space="preserve">(2) Die oder der Verfügungsberechtigte hat die Unterbringung der Bewohnerin oder des Bewohners zu dokumentieren. In der Dokumentation sind anzugeben:</w:t>
      </w:r>
    </w:p>
    <w:p>
      <w:r>
        <w:t xml:space="preserve">1. Anschrift der Unterkunft,</w:t>
      </w:r>
    </w:p>
    <w:p>
      <w:r>
        <w:t xml:space="preserve">2. Unterbringungskapazität,</w:t>
      </w:r>
    </w:p>
    <w:p>
      <w:r>
        <w:t xml:space="preserve">3. Name der Bewohnerin oder des Bewohners,</w:t>
      </w:r>
    </w:p>
    <w:p>
      <w:r>
        <w:t xml:space="preserve">4. Herkunftsland der Bewohnerin oder des Bewohners,</w:t>
      </w:r>
    </w:p>
    <w:p>
      <w:r>
        <w:t xml:space="preserve">5. Datum der Unterweisung der Bewohnerin oder des Bewohners,</w:t>
      </w:r>
    </w:p>
    <w:p>
      <w:r>
        <w:t xml:space="preserve">6. Zeitraum der Unterbringung mit Angaben zum Ein- und Auszug und</w:t>
      </w:r>
    </w:p>
    <w:p>
      <w:r>
        <w:t xml:space="preserve">7. Arbeitgeberin oder Arbeitgeber der Bewohnerin oder des Bewohners mit Anschrift.</w:t>
      </w:r>
    </w:p>
    <w:p>
      <w:r>
        <w:t xml:space="preserve">(3) Die Dokumentation muss für jede Bewohnerin oder jeden Bewohner ab Beginn der Bereitstellung der Unterkunft in der Unterkunft verfügbar sein. Sie ist nach Beendigung der Unterbringung vier Wochen aufzubewahren.</w:t>
      </w:r>
    </w:p>
    <w:p>
      <w:r>
        <w:t xml:space="preserve">(4) Die Gemeinde ist berechtigt, die Angaben melderechtlich zu überprüfen.</w:t>
      </w:r>
    </w:p>
    <w:p>
      <w:r>
        <w:rPr>
          <w:color w:val="555555"/>
          <w:sz w:val="17"/>
        </w:rPr>
        <w:t xml:space="preserve">Zitiervorschlag: § 4 NW_33353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https://recht.nulegal.eu/gesetze/NW_33353/4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