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NW_33334 (Nordrhein-Westfalen)</w:t>
      </w:r>
    </w:p>
    <w:p>
      <w:r>
        <w:rPr>
          <w:color w:val="555555"/>
          <w:sz w:val="18"/>
        </w:rPr>
        <w:t xml:space="preserve">AusfGFlurbG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Spruchstellen entscheiden über Beschwerden der Beteiligten gegen</w:t>
      </w:r>
    </w:p>
    <w:p>
      <w:r>
        <w:t xml:space="preserve">1. die Feststellung der Ergebnisse der Wertermittlung nach § 32 Satz 3 des Flurbereinigungsgesetzes und</w:t>
      </w:r>
    </w:p>
    <w:p>
      <w:r>
        <w:t xml:space="preserve">2. den Flurbereinigungsplan nach § 60 Absatz 2 des Flurbereinigungsgesetzes.</w:t>
      </w:r>
    </w:p>
    <w:p>
      <w:r>
        <w:rPr>
          <w:color w:val="555555"/>
          <w:sz w:val="17"/>
        </w:rPr>
        <w:t xml:space="preserve">Zitiervorschlag: § 5 NW_33334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https://recht.nulegal.eu/gesetze/NW_33334/5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