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NW_33334 (Nordrhein-Westfalen)</w:t>
      </w:r>
    </w:p>
    <w:p>
      <w:r>
        <w:rPr>
          <w:color w:val="555555"/>
          <w:sz w:val="18"/>
        </w:rPr>
        <w:t xml:space="preserve">AusfGFlurbG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oberen Flurbereinigungsbehörde sind in der erforderlichen Zahl Spruchstellen für Flurbereinigung, im Folgenden Spruchstellen genannt, einzurichten.</w:t>
      </w:r>
    </w:p>
    <w:p>
      <w:r>
        <w:t xml:space="preserve">(2) Die oberste Flurbereinigungsbehörde regelt den Geschäftsgang der Spruchstellen durch eine von ihr zu erlassende Geschäftsordnung.</w:t>
      </w:r>
    </w:p>
    <w:p>
      <w:r>
        <w:rPr>
          <w:color w:val="555555"/>
          <w:sz w:val="17"/>
        </w:rPr>
        <w:t xml:space="preserve">Zitiervorschlag: § 4 NW_33334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https://recht.nulegal.eu/gesetze/NW_33334/4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