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NW_33334 (Nordrhein-Westfalen)</w:t>
      </w:r>
    </w:p>
    <w:p>
      <w:r>
        <w:rPr>
          <w:color w:val="555555"/>
          <w:sz w:val="18"/>
        </w:rPr>
        <w:t xml:space="preserve">AusfGFlurbG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Spruchstellen entscheiden mit Stimmenmehrheit.</w:t>
      </w:r>
    </w:p>
    <w:p>
      <w:r>
        <w:t xml:space="preserve">(2) Die vorsitzende Person kann in einfachen Sachen schriftliche Beschlussfassung durch Umlauf herbeiführen. Die Beschlussfassung muss einstimmig sein. Diese kann auch digital erfolgen, wenn die datenschutzrechtlichen Bestimmungen erfüllt sind.</w:t>
      </w:r>
    </w:p>
    <w:p>
      <w:r>
        <w:t xml:space="preserve">(3) Die Entscheidungen der Spruchstellen sind mit Gründen zu versehen und den Beteiligten zuzustellen.</w:t>
      </w:r>
    </w:p>
    <w:p>
      <w:r>
        <w:rPr>
          <w:color w:val="555555"/>
          <w:sz w:val="17"/>
        </w:rPr>
        <w:t xml:space="preserve">Zitiervorschlag: § 11 NW_33334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https://recht.nulegal.eu/gesetze/NW_33334/11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