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NW_33314 (Nordrhein-Westfalen) — Anerkennungsvoraussetzungen</w:t>
      </w:r>
    </w:p>
    <w:p>
      <w:r>
        <w:rPr>
          <w:color w:val="555555"/>
          <w:sz w:val="18"/>
        </w:rPr>
        <w:t xml:space="preserve">Schießstandsachverständigen-AnerkennungsVO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Schießstandsachverständige im Sinne von § 1 Absatz 1 Nummer 3 werden Personen anerkannt, die</w:t>
      </w:r>
    </w:p>
    <w:p>
      <w:r>
        <w:t xml:space="preserve">1. die erforderliche Zuverlässigkeit gemäß § 5 des Waffengesetzes und die persönliche Eignung gemäß § 6 des Waffengesetzes besitzen,</w:t>
      </w:r>
    </w:p>
    <w:p>
      <w:r>
        <w:t xml:space="preserve">2. hinreichende Kenntnisse gemäß Absatz 3 nachgewiesen haben,</w:t>
      </w:r>
    </w:p>
    <w:p>
      <w:r>
        <w:t xml:space="preserve">3. das Vorliegen einer Haftpflichtversicherung in Höhe von 1 Million Euro, pauschal für Personen-, Sach- und Vermögensschäden, nachgewiesen haben und</w:t>
      </w:r>
    </w:p>
    <w:p>
      <w:r>
        <w:t xml:space="preserve">4. eine Erklärung abgeben, in geordneten wirtschaftlichen Verhältnissen zu leben.</w:t>
      </w:r>
    </w:p>
    <w:p>
      <w:r>
        <w:t xml:space="preserve">(2) Absatz 1 Nummer 1 wird auf Antrag der zuständigen Behörde durch die für den Wohnort zuständige Waffenbehörde geprüft. Die für den Wohnort zuständige Waffenbehörde hat die nach § 1 Absatz 1 Nummer 3 anerkannten Schießstandsachverständigen in regelmäßigen Abständen, mindestens jedoch nach Ablauf von drei Jahren, erneut auf ihre Zuverlässigkeit und ihre persönliche Eignung zu prüfen. Dies ist nicht erforderlich, sofern eine Zuverlässigkeits- und Eignungsprüfung bereits aufgrund von § 4 Absatz 3 des Waffengesetzes erfolgt. Die zuständige Behörde ist über das Ergebnis zu informieren.</w:t>
      </w:r>
    </w:p>
    <w:p>
      <w:r>
        <w:t xml:space="preserve">(3) Hinreichende Kenntnisse im Sinne von Absatz 1 Nummer 2 werden nachgewiesen, soweit in dieser Verordnung nichts anderes geregelt ist, durch</w:t>
      </w:r>
    </w:p>
    <w:p>
      <w:r>
        <w:t xml:space="preserve">1. die Teilnahme an einem zugelassenen Ausbildungslehrgang gemäß § 5,</w:t>
      </w:r>
    </w:p>
    <w:p>
      <w:r>
        <w:t xml:space="preserve">2. das Bestehen der Prüfung gemäß § 6 und</w:t>
      </w:r>
    </w:p>
    <w:p>
      <w:r>
        <w:t xml:space="preserve">3. eine mindestens einjährige praktische Tätigkeit gemäß § 14.</w:t>
      </w:r>
    </w:p>
    <w:p>
      <w:r>
        <w:rPr>
          <w:color w:val="555555"/>
          <w:sz w:val="17"/>
        </w:rPr>
        <w:t xml:space="preserve">Zitiervorschlag: § 3 NW_33314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https://recht.nulegal.eu/gesetze/NW_33314/3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