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NW_33309 (Nordrhein-Westfalen)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Oktober 2021</w:t>
      </w:r>
    </w:p>
    <w:p>
      <w:r>
        <w:t xml:space="preserve">Aufgrund von § 96 Satz 1 Medienstaatsvertrag (MStV) vom 14. bis 28. April 2020 (GV. NRW. S. 524) erlässt die Landesanstalt für Medien Nordrhein-Westfalen (LfM) übereinstimmend mit den übrigen Landesmedienanstalten folgende Satzung:</w:t>
      </w:r>
    </w:p>
    <w:p>
      <w:r>
        <w:t xml:space="preserve">1. Abschnitt: Allgemeine Vorschriften</w:t>
      </w:r>
    </w:p>
    <w:p>
      <w:r>
        <w:t xml:space="preserve">§ 1</w:t>
      </w:r>
    </w:p>
    <w:p>
      <w:r>
        <w:t xml:space="preserve">Zweck und Zielsetzung</w:t>
      </w:r>
    </w:p>
    <w:p>
      <w:r>
        <w:t xml:space="preserve">(1) Diese Satzung regelt gemäß § 96 MStV Einzelheiten zur inhaltlichen und verfahrensmäßigen Konkretisierung der gesetzlichen Vorschriften zur Regulierung von Medienintermediären und Anbietern von Medienintermediären (§§ 91 bis 95 MStV).</w:t>
      </w:r>
    </w:p>
    <w:p>
      <w:r>
        <w:t xml:space="preserve">(2) Diese Satzung dient der Sicherung der Meinungsvielfalt (Angebots- und Anbietervielfalt).</w:t>
      </w:r>
    </w:p>
    <w:p>
      <w:r>
        <w:t xml:space="preserve">(3) Die Orientierungsfunktion von Medienintermediären für die jeweiligen Nutzerkreise ist bei Anwendung dieser Satzung zu berücksichtigen.</w:t>
      </w:r>
    </w:p>
    <w:p>
      <w:r>
        <w:rPr>
          <w:color w:val="555555"/>
          <w:sz w:val="17"/>
        </w:rPr>
        <w:t xml:space="preserve">Zitiervorschlag: Volltext NW_33309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