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NW_33309 (Nordrhein-Westfalen) — Systematische Abweichung nach § 94 Abs. 2 1. Alt. MStV</w:t>
      </w:r>
    </w:p>
    <w:p>
      <w:r>
        <w:rPr>
          <w:color w:val="555555"/>
          <w:sz w:val="18"/>
        </w:rPr>
        <w:t xml:space="preserve">MI-Satzung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Maßgeblich für die Beurteilung, ob ein Verstoß gegen § 94 Abs. 2 1. Alt MStV vorliegt sind</w:t>
      </w:r>
    </w:p>
    <w:p>
      <w:r>
        <w:t xml:space="preserve">1. die Kriterien und die Angaben zur Gewichtung der Kriterien, die der Anbieter des Medienintermediärs zur Erfüllung seiner Verpflichtung nach § 93 Abs. 1 MStV veröffentlicht oder</w:t>
      </w:r>
    </w:p>
    <w:p>
      <w:r>
        <w:t xml:space="preserve">2. die Kriterien und die Angaben zur Gewichtung der Kriterien, die der Anbieter des Medienintermediärs zur Erfüllung der Verpflichtung nach § 93 Abs. 1 MStV veröffentlichen müsste.</w:t>
      </w:r>
    </w:p>
    <w:p>
      <w:r>
        <w:t xml:space="preserve">(2) Eine Abweichung im Sinne von § 94 Abs. 2 1. Alt MStV liegt insbesondere vor, wenn der Anbieter eines Medienintermediärs</w:t>
      </w:r>
    </w:p>
    <w:p>
      <w:r>
        <w:t xml:space="preserve">1. nicht die veröffentlichten oder andere als die nach § 93 Abs. 1 Nr. 1 und 2 MStV zu veröffentlichenden Kriterien anwendet oder</w:t>
      </w:r>
    </w:p>
    <w:p>
      <w:r>
        <w:t xml:space="preserve">2. von der veröffentlichten Gewichtung der zentralen Kriterien einer Aggregation, Selektion und Präsentation von Inhalten abweicht.</w:t>
      </w:r>
    </w:p>
    <w:p>
      <w:r>
        <w:t xml:space="preserve">(3) Die Feststellung, ob eine Abweichung im Sinne von § 94 Abs. 2 1. Alt. MStV systematisch erfolgt, ist anhand einer Gesamtschau aller Umstände vorzunehmen. Insbesondere Dauer, Regelmäßigkeit, Wiederholung und Planmäßigkeit der Abweichung sind hierbei einzubeziehen.</w:t>
      </w:r>
    </w:p>
    <w:p>
      <w:r>
        <w:t xml:space="preserve">(4) Eine Abweichung ist gerechtfertigt, wenn diese mit einem sachlich gerechtfertigten Grund erfolgt. Gründe können insbesondere sein</w:t>
      </w:r>
    </w:p>
    <w:p>
      <w:r>
        <w:t xml:space="preserve">1. gesetzliche Verbote oder gesetzliche Verpflichtungen;</w:t>
      </w:r>
    </w:p>
    <w:p>
      <w:r>
        <w:t xml:space="preserve">2. technische Gegebenheiten bei der Darstellung beim Nutzer;</w:t>
      </w:r>
    </w:p>
    <w:p>
      <w:r>
        <w:t xml:space="preserve">3. Erfordernisse zum Schutz der Integrität des Dienstes.</w:t>
      </w:r>
    </w:p>
    <w:p>
      <w:r>
        <w:t xml:space="preserve">(5) Ob ein sachlich gerechtfertigter Grund vorliegt, beurteilt sich nach einer Abwägung der Interessen der Beteiligten unter Berücksichtigung der auf die Sicherung der Meinungsvielfalt gerichteten Zielsetzung des MStV.</w:t>
      </w:r>
    </w:p>
    <w:p>
      <w:r>
        <w:rPr>
          <w:color w:val="555555"/>
          <w:sz w:val="17"/>
        </w:rPr>
        <w:t xml:space="preserve">Zitiervorschlag: § 8 NW_33309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https://recht.nulegal.eu/gesetze/NW_33309/8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