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NW_33238 (Nordrhein-Westfalen) — Prüfungsgebühr</w:t>
      </w:r>
    </w:p>
    <w:p>
      <w:r>
        <w:rPr>
          <w:color w:val="555555"/>
          <w:sz w:val="18"/>
        </w:rPr>
        <w:t xml:space="preserve">Prüfungsordnung I für Aufsichtspersonen mit Hochschulqualifikation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Tätigkeiten des Prüfungsausschusses sind Prüfungsgebühren von dem Unfallversicherungsträger zu tragen, über den sich die AP i. V. anmeldet.</w:t>
      </w:r>
    </w:p>
    <w:p>
      <w:r>
        <w:t xml:space="preserve">Die Höhe wird durch die DGUV festgesetzt.</w:t>
      </w:r>
    </w:p>
    <w:p>
      <w:r>
        <w:rPr>
          <w:color w:val="555555"/>
          <w:sz w:val="17"/>
        </w:rPr>
        <w:t xml:space="preserve">Zitiervorschlag: § 23 NW_33238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https://recht.nulegal.eu/gesetze/NW_33238/23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