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NW_33232 (Nordrhein-Westfalen) — Finanzierung des Sondervermögens</w:t>
      </w:r>
    </w:p>
    <w:p>
      <w:r>
        <w:rPr>
          <w:color w:val="555555"/>
          <w:sz w:val="18"/>
        </w:rPr>
        <w:t xml:space="preserve">NRW-Wiederaufbauhilfegesetz 2021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Finanzierung des Fonds erfolgt durch die Zuführung der Mittel aus dem Sondervermögen des Bundes „Aufbauhilfe 2021“ und aus dem Solidaritätsfonds der Europäischen Union.</w:t>
      </w:r>
    </w:p>
    <w:p>
      <w:r>
        <w:rPr>
          <w:color w:val="555555"/>
          <w:sz w:val="17"/>
        </w:rPr>
        <w:t xml:space="preserve">Zitiervorschlag: § 4 NW_33232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https://recht.nulegal.eu/gesetze/NW_33232/4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