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NW_33193 (Nordrhein-Westfalen) — Umsetzung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Abschluss des Bestimmungsverfahrens veröffentlichen die Landesmedienanstalten je eine Liste für Bewegtbild- und Audioangebote auf dem Internetauftritt unter der Dachmarke „die medienanstalten“ zur Umsetzung durch die Anbieter von Benutzeroberflächen.</w:t>
      </w:r>
    </w:p>
    <w:p>
      <w:r>
        <w:t xml:space="preserve">(2) Die Sortierung oder Anordnung von Angeboten oder Inhalten muss auf einfache Weise und dauerhaft durch den Nutzer individualisiert werden können.</w:t>
      </w:r>
    </w:p>
    <w:p>
      <w:r>
        <w:t xml:space="preserve">(3) Die durch die ZAK als Organ der zuständigen Landesmedienanstalt festgelegte Reihenfolge der Listen ergibt sich aus der gem. §§ 7 und 8 vorgenommenen Gesamtschau. Sofern und soweit der Anbieter einer Benutzeroberfläche bei der Sortierung und Anordnung der Angebote eine Reihenfolge abbildet, dienen die Listen der Umsetzung durch die Anbieter von Benutzeroberflächen.</w:t>
      </w:r>
    </w:p>
    <w:p>
      <w:r>
        <w:t xml:space="preserve">(4) Die zuständige Landesmedienanstalt hat die Aufgabe, auf eine Einigung mit den Anbietern der gesetzlich bestimmten beitragsfinanzierten Programme und der zugehörigen Telemedienangebote bezüglich der Reihenfolge der Darstellung hinzuwirken.</w:t>
      </w:r>
    </w:p>
    <w:p>
      <w:r>
        <w:rPr>
          <w:color w:val="555555"/>
          <w:sz w:val="17"/>
        </w:rPr>
        <w:t xml:space="preserve">Zitiervorschlag: § 9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