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NW_33193 (Nordrhein-Westfalen) — Abschluss des Verfahrens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den jeweiligen Antrag ergeht gegenüber den Antragstellenden durch Verwaltungsakt.</w:t>
      </w:r>
    </w:p>
    <w:p>
      <w:r>
        <w:t xml:space="preserve">(2) Die getroffenen Feststellungen gelten jeweils für die Dauer von drei Jahren ab dem im Verwaltungsakt bekannt gegebenen Datum.</w:t>
      </w:r>
    </w:p>
    <w:p>
      <w:r>
        <w:t xml:space="preserve">(3) Änderungen des Angebots, die vor oder nach der Entscheidung über den Antrag eintreten, und die für die Bestimmung nach den §§ 7 und 8 wesentlich sind, haben die Antragstellenden unverzüglich der zuständigen Landesmedienanstalt mitzuteilen.</w:t>
      </w:r>
    </w:p>
    <w:p>
      <w:r>
        <w:t xml:space="preserve">(4) Die Entscheidung nach § 6 Abs. 1 kann durch die zuständige Landesmedienanstalt widerrufen werden, wenn nachträglich wesentliche Veränderungen des Angebots eintreten, nach denen das Angebot den §§ 7 und 8 nicht mehr genügt.</w:t>
      </w:r>
    </w:p>
    <w:p>
      <w:r>
        <w:rPr>
          <w:color w:val="555555"/>
          <w:sz w:val="17"/>
        </w:rPr>
        <w:t xml:space="preserve">Zitiervorschlag: § 6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