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NW_33193 (Nordrhein-Westfalen) — Verfahrensgang</w:t>
      </w:r>
    </w:p>
    <w:p>
      <w:r>
        <w:rPr>
          <w:color w:val="555555"/>
          <w:sz w:val="18"/>
        </w:rPr>
        <w:t xml:space="preserve">Public-Value-Satzung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Landesmedienanstalt prüft die eingegangenen Anträge. Sie prüft hierbei, ob die Voraussetzungen für die Bestimmung des jeweiligen Angebots oder der jeweiligen softwarebasierten Anwendung nach §§ 2, 7 und 8 gegeben sind.</w:t>
      </w:r>
    </w:p>
    <w:p>
      <w:r>
        <w:t xml:space="preserve">(2) Die ZAK stellt für jedes Angebot oder für die jeweilige softwarebasierte Anwendung durch Beschluss fest, ob die Voraussetzungen gegeben sind.</w:t>
      </w:r>
    </w:p>
    <w:p>
      <w:r>
        <w:t xml:space="preserve">(3) Die förmliche Bestimmung erfolgt durch die zuständige Landesmedienanstalt. Sie ist hierbei an die Entscheidungen der ZAK gebunden.</w:t>
      </w:r>
    </w:p>
    <w:p>
      <w:r>
        <w:rPr>
          <w:color w:val="555555"/>
          <w:sz w:val="17"/>
        </w:rPr>
        <w:t xml:space="preserve">Zitiervorschlag: § 5 NW_33193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https://recht.nulegal.eu/gesetze/NW_33193/5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