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NW_33193 (Nordrhein-Westfalen) — Antragstellung</w:t>
      </w:r>
    </w:p>
    <w:p>
      <w:r>
        <w:rPr>
          <w:color w:val="555555"/>
          <w:sz w:val="18"/>
        </w:rPr>
        <w:t xml:space="preserve">Public-Value-Satzung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Anträge sind schriftlich bei der zuständigen Landesmedienanstalt innerhalb der in der jeweiligen Ausschreibung gesetzten Ausschlussfrist einzureichen. Anträgen müssen eine Prüfung des Beitrags zur Meinungs- und Angebotsvielfalt des jeweiligen Angebots oder der jeweiligen softwarebasierten Anwendung ermöglichende Unterlagen beigefügt werden und mindestens folgende Informationen enthalten:</w:t>
      </w:r>
    </w:p>
    <w:p>
      <w:r>
        <w:t xml:space="preserve">1. Tatsachen, aus denen folgt, dass es sich bei dem Angebot um ein privates Rundfunkangebot nach § 84 Abs. 3 MStV oder nach § 84 Abs. 4 MStV ein privates vergleichbares rundfunkähnliches Telemedienangebot oder ein Angebot nach § 2 Abs. 2 Nr. 14 lit. b MStV oder eine softwarebasierte Anwendung, die ihrer unmittelbarer Ansteuerung dient, handelt;</w:t>
      </w:r>
    </w:p>
    <w:p>
      <w:r>
        <w:t xml:space="preserve">2. inhaltliche Beschreibung des Angebots und Darlegung, aus welchen Umständen sich der besondere Beitrag zur Angebots- und Meinungsvielfalt im Bundesgebiet ergibt;</w:t>
      </w:r>
    </w:p>
    <w:p>
      <w:r>
        <w:t xml:space="preserve">3. Angaben zu den bei der Bestimmung zu beachtenden Kriterien nach § 84 Abs. 5 MStV und § 7.</w:t>
      </w:r>
    </w:p>
    <w:p>
      <w:r>
        <w:rPr>
          <w:color w:val="555555"/>
          <w:sz w:val="17"/>
        </w:rPr>
        <w:t xml:space="preserve">Zitiervorschlag: § 4 NW_33193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https://recht.nulegal.eu/gesetze/NW_33193/4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