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NW_33193 (Nordrhein-Westfalen) — Antragsberechtigung</w:t>
      </w:r>
    </w:p>
    <w:p>
      <w:r>
        <w:rPr>
          <w:color w:val="555555"/>
          <w:sz w:val="18"/>
        </w:rPr>
        <w:t xml:space="preserve">Public-Value-Satzung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Antragsberechtigt sind</w:t>
      </w:r>
    </w:p>
    <w:p>
      <w:r>
        <w:t xml:space="preserve">1. gemäß § 84 Abs. 3 Satz 2 MStV Rundfunkangebote privater Anbieter, die in besonderem Maß einen Beitrag zur Meinungs- und Angebotsvielfalt im Bundesgebiet leisten,</w:t>
      </w:r>
    </w:p>
    <w:p>
      <w:r>
        <w:t xml:space="preserve">oder</w:t>
      </w:r>
    </w:p>
    <w:p>
      <w:r>
        <w:t xml:space="preserve">2. gemäß § 84 Abs. 4 MStV vergleichbare rundfunkähnliche Telemedienangebote oder Angebote nach § 2 Abs. 2 Nr. 14 lit. b MStV, die in besonderem Maß einen Beitrag zur Meinungs- und Angebotsvielfalt im Bundesgebiet leisten, oder softwarebasierte Anwendungen, die ihrer unmittelbaren Ansteuerung dienen.</w:t>
      </w:r>
    </w:p>
    <w:p>
      <w:r>
        <w:rPr>
          <w:color w:val="555555"/>
          <w:sz w:val="17"/>
        </w:rPr>
        <w:t xml:space="preserve">Zitiervorschlag: § 2 NW_33193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