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NW_33193 (Nordrhein-Westfalen) — Inkrafttreten</w:t>
      </w:r>
    </w:p>
    <w:p>
      <w:r>
        <w:rPr>
          <w:color w:val="555555"/>
          <w:sz w:val="18"/>
        </w:rPr>
        <w:t xml:space="preserve">Public-Value-Satzung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Diese Satzung tritt am 1. September 2021 in Kraft. Sind bis zum 31. August 2021 übereinstimmende Satzungen nicht von allen Landesmedienanstalten erlassen und veröffentlicht worden, wird diese Satzung gegenstandslos. Der Vorsitzende der Direktorenkonferenz der Landesmedienanstalten (DLM) veröffentlicht im Internetauftritt unter der Dachmarke „die medienanstalten“, ob alle Landesmedienanstalten innerhalb der Frist des Satzes 2 übereinstimmende Satzungen erlassen und veröffentlicht haben.</w:t>
      </w:r>
    </w:p>
    <w:p>
      <w:r>
        <w:t xml:space="preserve">Düsseldorf, den 25. Juni 2021</w:t>
      </w:r>
    </w:p>
    <w:p>
      <w:r>
        <w:t xml:space="preserve">Der Direktor</w:t>
      </w:r>
    </w:p>
    <w:p>
      <w:r>
        <w:t xml:space="preserve">der Landesanstalt für Medien</w:t>
      </w:r>
    </w:p>
    <w:p>
      <w:r>
        <w:t xml:space="preserve">Nordrhein-Westfalen (LfM)</w:t>
      </w:r>
    </w:p>
    <w:p>
      <w:r>
        <w:t xml:space="preserve">Dr. Tobias S c h m i d</w:t>
      </w:r>
    </w:p>
    <w:p>
      <w:r>
        <w:t xml:space="preserve">[1] Notifiziert gemäß der Richtlinie (EU) 2015/1535 des Europäischen Parlaments und des Rates vom 9. September 2015 über ein Informationsverfahren auf dem Gebiet der technischen Vorschriften und der Vorschriften für die Dienste der Informationsgesellschaft (ABl. L 241 vom 17. September 2015, S. 1).</w:t>
      </w:r>
    </w:p>
    <w:p>
      <w:r>
        <w:rPr>
          <w:color w:val="555555"/>
          <w:sz w:val="17"/>
        </w:rPr>
        <w:t xml:space="preserve">Zitiervorschlag: § 10 NW_33193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https://recht.nulegal.eu/gesetze/NW_33193/10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