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NW_33193 (Nordrhein-Westfalen) — Zweck</w:t>
      </w:r>
    </w:p>
    <w:p>
      <w:r>
        <w:rPr>
          <w:color w:val="555555"/>
          <w:sz w:val="18"/>
        </w:rPr>
        <w:t xml:space="preserve">Public-Value-Satzung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Landesmedienanstalten bestimmen nach Maßgabe des § 84 Abs. 5 MStV Anbieter von Angeboten (im Folgenden „Angebote“) im Sinne von § 84 Abs. 3 Satz 2 und Abs. 4 MStV (Bestimmungsverfahren).</w:t>
      </w:r>
    </w:p>
    <w:p>
      <w:r>
        <w:rPr>
          <w:color w:val="555555"/>
          <w:sz w:val="17"/>
        </w:rPr>
        <w:t xml:space="preserve">Zitiervorschlag: § 1 NW_33193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https://recht.nulegal.eu/gesetze/NW_33193/1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