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NW_33181 (Nordrhein-Westfalen) — Berücksichtigungsgebot</w:t>
      </w:r>
    </w:p>
    <w:p>
      <w:r>
        <w:rPr>
          <w:color w:val="555555"/>
          <w:sz w:val="18"/>
        </w:rPr>
        <w:t xml:space="preserve">KlAnG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Träger öffentlicher Aufgaben haben bei ihren Planungen und Entscheidungen den Zweck dieses Gesetzes und die zu seiner Erfüllung festgelegten Ziele fachübergreifend und integriert zu berücksichtigen.</w:t>
      </w:r>
    </w:p>
    <w:p>
      <w:r>
        <w:t xml:space="preserve">(2) Gemäß § 13 Absatz 3 Satz 1 des Bundes-Klimaschutzgesetzes vom 12. Dezember 2019 (BGBl. I S. 2513) sind bei der Anwendung von Wirtschaftlichkeitskriterien bei vergleichenden Betrachtungen die Kosten und Einsparungen über die jeweilige gesamte Nutzungsdauer der Investition oder Beschaffung zugrunde zu legen. Dabei sind gemäß Satz 2 auch die zu erwartenden Kosten der negativen Folgen des Klimawandels auf geeignete Weise zu berücksichtigen.</w:t>
      </w:r>
    </w:p>
    <w:p>
      <w:r>
        <w:rPr>
          <w:color w:val="555555"/>
          <w:sz w:val="17"/>
        </w:rPr>
        <w:t xml:space="preserve">Zitiervorschlag: § 6 NW_33181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https://recht.nulegal.eu/gesetze/NW_33181/6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