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NW_33181 (Nordrhein-Westfalen) — Klimaanpassungsziele</w:t>
      </w:r>
    </w:p>
    <w:p>
      <w:r>
        <w:rPr>
          <w:color w:val="555555"/>
          <w:sz w:val="18"/>
        </w:rPr>
        <w:t xml:space="preserve">KlAnG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negativen Auswirkungen des Klimawandels sind seitens der jeweils zuständigen öffentlichen Stellen durch die Erarbeitung und Umsetzung von handlungsfeldspezifischen und auf die jeweilige Region abgestimmten Anpassungsmaßnahmen zu begrenzen.</w:t>
      </w:r>
    </w:p>
    <w:p>
      <w:r>
        <w:t xml:space="preserve">(2) Die Anpassung an den Klimawandel dient insbesondere auch der Gefahrenvorsorge, der Gesundheit der oder des Einzelnen und der Allgemeinheit, der Sicherung einer menschenwürdigen Umwelt, dem Schutz der natürlichen Lebensgrundlagen auch in Verantwortung gegenüber künftigen Generationen sowie der Förderung einer nachhaltigen und wettbewerbsfähigen Wirtschaft. Maßnahmen nach Absatz 1 sind entsprechend auszurichten.</w:t>
      </w:r>
    </w:p>
    <w:p>
      <w:r>
        <w:rPr>
          <w:color w:val="555555"/>
          <w:sz w:val="17"/>
        </w:rPr>
        <w:t xml:space="preserve">Zitiervorschlag: § 3 NW_33181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https://recht.nulegal.eu/gesetze/NW_33181/3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