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NW_33180 (Nordrhein-Westfalen) — Landesamt für Natur, Umwelt und Klima</w:t>
      </w:r>
    </w:p>
    <w:p>
      <w:r>
        <w:rPr>
          <w:color w:val="555555"/>
          <w:sz w:val="18"/>
        </w:rPr>
        <w:t xml:space="preserve">Gesetz zur Neufassung des Klimaschutzgesetzes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Natur, Umwelt und Klima hat auf dem Gebiet des Klimaschutzes insbesondere folgende Aufgaben:</w:t>
      </w:r>
    </w:p>
    <w:p>
      <w:r>
        <w:t xml:space="preserve">1. Erhebung und Bereitstellung der für die Aufgaben der öffentlichen Stellen nach diesem Gesetz relevanten Daten, insbesondere zum Ausbaustand der Erneuerbaren Energien in Nordrhein-Westfalen und</w:t>
      </w:r>
    </w:p>
    <w:p>
      <w:r>
        <w:t xml:space="preserve">2. jährliche Erfassung, Aktualisierung und Veröffentlichung der Treibhausgasemissionen in Nordrhein-Westfalen.</w:t>
      </w:r>
    </w:p>
    <w:p>
      <w:r>
        <w:rPr>
          <w:color w:val="555555"/>
          <w:sz w:val="17"/>
        </w:rPr>
        <w:t xml:space="preserve">Zitiervorschlag: § 8 NW_33180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